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0FF5F">
      <w:pPr>
        <w:spacing w:line="44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附件二：</w:t>
      </w:r>
    </w:p>
    <w:p w14:paraId="0970BA5D">
      <w:pPr>
        <w:spacing w:line="44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评分标准</w:t>
      </w:r>
    </w:p>
    <w:p w14:paraId="018ECB84">
      <w:pPr>
        <w:spacing w:line="360" w:lineRule="auto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一、比赛规则</w:t>
      </w:r>
    </w:p>
    <w:p w14:paraId="048E4B7C">
      <w:pPr>
        <w:spacing w:line="44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1．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严格控时</w:t>
      </w:r>
      <w:r>
        <w:rPr>
          <w:rFonts w:hint="eastAsia" w:ascii="仿宋" w:hAnsi="仿宋" w:eastAsia="仿宋"/>
          <w:sz w:val="28"/>
          <w:szCs w:val="28"/>
        </w:rPr>
        <w:t>，</w:t>
      </w:r>
      <w:r>
        <w:rPr>
          <w:rFonts w:ascii="仿宋" w:hAnsi="仿宋" w:eastAsia="仿宋"/>
          <w:sz w:val="28"/>
          <w:szCs w:val="28"/>
        </w:rPr>
        <w:t>超过</w:t>
      </w:r>
      <w:r>
        <w:rPr>
          <w:rFonts w:hint="eastAsia" w:ascii="仿宋" w:hAnsi="仿宋" w:eastAsia="仿宋"/>
          <w:sz w:val="28"/>
          <w:szCs w:val="28"/>
        </w:rPr>
        <w:t>叫停</w:t>
      </w:r>
      <w:r>
        <w:rPr>
          <w:rFonts w:ascii="仿宋" w:hAnsi="仿宋" w:eastAsia="仿宋"/>
          <w:sz w:val="28"/>
          <w:szCs w:val="28"/>
        </w:rPr>
        <w:t>并扣分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30B71987">
      <w:pPr>
        <w:spacing w:line="44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 使用普通话，仪态自然大方，着装规范。</w:t>
      </w:r>
    </w:p>
    <w:p w14:paraId="6C0099BB">
      <w:pPr>
        <w:spacing w:line="360" w:lineRule="auto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二、评分细则（满分100分）</w:t>
      </w:r>
    </w:p>
    <w:tbl>
      <w:tblPr>
        <w:tblStyle w:val="5"/>
        <w:tblW w:w="8321" w:type="dxa"/>
        <w:tblInd w:w="1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6875"/>
      </w:tblGrid>
      <w:tr w14:paraId="672E2C00">
        <w:trPr>
          <w:trHeight w:val="501" w:hRule="atLeast"/>
        </w:trPr>
        <w:tc>
          <w:tcPr>
            <w:tcW w:w="1446" w:type="dxa"/>
          </w:tcPr>
          <w:p w14:paraId="361EFD76">
            <w:pPr>
              <w:spacing w:line="44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评价项目</w:t>
            </w:r>
          </w:p>
        </w:tc>
        <w:tc>
          <w:tcPr>
            <w:tcW w:w="6875" w:type="dxa"/>
          </w:tcPr>
          <w:p w14:paraId="6147BA0B">
            <w:pPr>
              <w:spacing w:line="44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评价要点</w:t>
            </w:r>
          </w:p>
        </w:tc>
      </w:tr>
      <w:tr w14:paraId="0809700F">
        <w:trPr>
          <w:trHeight w:val="776" w:hRule="atLeast"/>
        </w:trPr>
        <w:tc>
          <w:tcPr>
            <w:tcW w:w="1446" w:type="dxa"/>
            <w:vMerge w:val="restart"/>
            <w:vAlign w:val="center"/>
          </w:tcPr>
          <w:p w14:paraId="313F9F5E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讲演内容</w:t>
            </w:r>
          </w:p>
          <w:p w14:paraId="73C631B5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（3</w:t>
            </w:r>
            <w:r>
              <w:rPr>
                <w:rFonts w:ascii="仿宋" w:hAnsi="仿宋" w:eastAsia="仿宋"/>
                <w:sz w:val="28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分）</w:t>
            </w:r>
          </w:p>
        </w:tc>
        <w:tc>
          <w:tcPr>
            <w:tcW w:w="6875" w:type="dxa"/>
          </w:tcPr>
          <w:p w14:paraId="7E8DFF61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1、思想内容能紧紧围绕主题，观点正确、鲜明，见解独到，内容充实具体，生动感人（1</w:t>
            </w:r>
            <w:r>
              <w:rPr>
                <w:rFonts w:ascii="仿宋" w:hAnsi="仿宋" w:eastAsia="仿宋"/>
                <w:sz w:val="28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分）</w:t>
            </w:r>
          </w:p>
        </w:tc>
      </w:tr>
      <w:tr w14:paraId="39BF5821">
        <w:trPr>
          <w:trHeight w:val="185" w:hRule="atLeast"/>
        </w:trPr>
        <w:tc>
          <w:tcPr>
            <w:tcW w:w="1446" w:type="dxa"/>
            <w:vMerge w:val="continue"/>
          </w:tcPr>
          <w:p w14:paraId="6C0E0E86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875" w:type="dxa"/>
          </w:tcPr>
          <w:p w14:paraId="37ADE907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2、内容真实、典型，事迹感人、事例生动，故事性强，反映党的奋斗历史，具有普遍意义，体现时代精神(10分)</w:t>
            </w:r>
          </w:p>
        </w:tc>
      </w:tr>
      <w:tr w14:paraId="1CDA4094">
        <w:trPr>
          <w:trHeight w:val="185" w:hRule="atLeast"/>
        </w:trPr>
        <w:tc>
          <w:tcPr>
            <w:tcW w:w="1446" w:type="dxa"/>
            <w:vMerge w:val="continue"/>
          </w:tcPr>
          <w:p w14:paraId="00A3F158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875" w:type="dxa"/>
          </w:tcPr>
          <w:p w14:paraId="64745581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3、讲稿结构严谨，构思巧妙，引人入胜（5分）</w:t>
            </w:r>
          </w:p>
        </w:tc>
      </w:tr>
      <w:tr w14:paraId="1AC7FFE3">
        <w:trPr>
          <w:trHeight w:val="185" w:hRule="atLeast"/>
        </w:trPr>
        <w:tc>
          <w:tcPr>
            <w:tcW w:w="1446" w:type="dxa"/>
            <w:vMerge w:val="continue"/>
          </w:tcPr>
          <w:p w14:paraId="1CF9B113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875" w:type="dxa"/>
          </w:tcPr>
          <w:p w14:paraId="01D779E6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4、文字简练流畅，具有较强的思想性（5分）</w:t>
            </w:r>
          </w:p>
        </w:tc>
      </w:tr>
      <w:tr w14:paraId="126B2AA8">
        <w:trPr>
          <w:trHeight w:val="368" w:hRule="atLeast"/>
        </w:trPr>
        <w:tc>
          <w:tcPr>
            <w:tcW w:w="1446" w:type="dxa"/>
            <w:vMerge w:val="restart"/>
            <w:vAlign w:val="center"/>
          </w:tcPr>
          <w:p w14:paraId="2DC13E20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语言表达</w:t>
            </w:r>
          </w:p>
          <w:p w14:paraId="752F40F0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（3</w:t>
            </w:r>
            <w:r>
              <w:rPr>
                <w:rFonts w:ascii="仿宋" w:hAnsi="仿宋" w:eastAsia="仿宋"/>
                <w:sz w:val="28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分）</w:t>
            </w:r>
          </w:p>
        </w:tc>
        <w:tc>
          <w:tcPr>
            <w:tcW w:w="6875" w:type="dxa"/>
          </w:tcPr>
          <w:p w14:paraId="4D4B8776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1、讲演者语言规范，吐字清晰，声音洪亮圆润。（10分）</w:t>
            </w:r>
          </w:p>
        </w:tc>
      </w:tr>
      <w:tr w14:paraId="0664EC84">
        <w:trPr>
          <w:trHeight w:val="185" w:hRule="atLeast"/>
        </w:trPr>
        <w:tc>
          <w:tcPr>
            <w:tcW w:w="1446" w:type="dxa"/>
            <w:vMerge w:val="continue"/>
            <w:vAlign w:val="center"/>
          </w:tcPr>
          <w:p w14:paraId="2D961C86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875" w:type="dxa"/>
          </w:tcPr>
          <w:p w14:paraId="082B6C25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2、语言表达准确、流畅、自然。（10分）</w:t>
            </w:r>
          </w:p>
        </w:tc>
      </w:tr>
      <w:tr w14:paraId="79000729">
        <w:trPr>
          <w:trHeight w:val="185" w:hRule="atLeast"/>
        </w:trPr>
        <w:tc>
          <w:tcPr>
            <w:tcW w:w="1446" w:type="dxa"/>
            <w:vMerge w:val="continue"/>
            <w:vAlign w:val="center"/>
          </w:tcPr>
          <w:p w14:paraId="4CAF2E50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875" w:type="dxa"/>
          </w:tcPr>
          <w:p w14:paraId="5DA08CC9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3、语言技巧处理得当，语速恰当，语气、语调、音量、节奏张弛符合思想感情的起伏变化，能熟练表达所讲演的内容。（1</w:t>
            </w:r>
            <w:r>
              <w:rPr>
                <w:rFonts w:ascii="仿宋" w:hAnsi="仿宋" w:eastAsia="仿宋"/>
                <w:sz w:val="28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分）</w:t>
            </w:r>
          </w:p>
        </w:tc>
      </w:tr>
      <w:tr w14:paraId="0469F423">
        <w:trPr>
          <w:trHeight w:val="778" w:hRule="atLeast"/>
        </w:trPr>
        <w:tc>
          <w:tcPr>
            <w:tcW w:w="1446" w:type="dxa"/>
            <w:vMerge w:val="restart"/>
            <w:vAlign w:val="center"/>
          </w:tcPr>
          <w:p w14:paraId="66BE349D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表演形象</w:t>
            </w:r>
          </w:p>
          <w:p w14:paraId="6EE4C40A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</w:t>
            </w:r>
            <w:r>
              <w:rPr>
                <w:rFonts w:ascii="仿宋" w:hAnsi="仿宋" w:eastAsia="仿宋"/>
                <w:sz w:val="28"/>
                <w:szCs w:val="28"/>
              </w:rPr>
              <w:t>30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分）</w:t>
            </w:r>
          </w:p>
        </w:tc>
        <w:tc>
          <w:tcPr>
            <w:tcW w:w="6875" w:type="dxa"/>
          </w:tcPr>
          <w:p w14:paraId="6ABB92B1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讲演者精神饱满，能较好地运用姿态、动作、手势、表情，表达对故事的理解。（1</w:t>
            </w:r>
            <w:r>
              <w:rPr>
                <w:rFonts w:ascii="仿宋" w:hAnsi="仿宋" w:eastAsia="仿宋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分）</w:t>
            </w:r>
          </w:p>
        </w:tc>
      </w:tr>
      <w:tr w14:paraId="67D6EAE5">
        <w:trPr>
          <w:trHeight w:val="778" w:hRule="atLeast"/>
        </w:trPr>
        <w:tc>
          <w:tcPr>
            <w:tcW w:w="1446" w:type="dxa"/>
            <w:vMerge w:val="continue"/>
            <w:vAlign w:val="center"/>
          </w:tcPr>
          <w:p w14:paraId="20063720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875" w:type="dxa"/>
          </w:tcPr>
          <w:p w14:paraId="22A0212F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表演生动自然、情绪到位，言行、姿态具有表现力，服装、道具与多媒体的使用恰如其分、恰到好处。（1</w:t>
            </w:r>
            <w:r>
              <w:rPr>
                <w:rFonts w:ascii="仿宋" w:hAnsi="仿宋" w:eastAsia="仿宋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分）</w:t>
            </w:r>
          </w:p>
        </w:tc>
      </w:tr>
      <w:tr w14:paraId="0C0DA7AB">
        <w:trPr>
          <w:trHeight w:val="1021" w:hRule="atLeast"/>
        </w:trPr>
        <w:tc>
          <w:tcPr>
            <w:tcW w:w="1446" w:type="dxa"/>
            <w:vAlign w:val="center"/>
          </w:tcPr>
          <w:p w14:paraId="71D02926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会场效果</w:t>
            </w:r>
          </w:p>
          <w:p w14:paraId="1E73CB2D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（10分）</w:t>
            </w:r>
          </w:p>
        </w:tc>
        <w:tc>
          <w:tcPr>
            <w:tcW w:w="6875" w:type="dxa"/>
          </w:tcPr>
          <w:p w14:paraId="7D73673A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讲演具有较强的感染力、吸引力和号召力，能较好地与听众感情融合在一起，营造良好的演讲效果。</w:t>
            </w:r>
          </w:p>
        </w:tc>
      </w:tr>
    </w:tbl>
    <w:p w14:paraId="18E486EF">
      <w:pPr>
        <w:spacing w:line="360" w:lineRule="auto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三、评分规则</w:t>
      </w:r>
    </w:p>
    <w:p w14:paraId="39B7DF50">
      <w:pPr>
        <w:spacing w:line="44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   </w:t>
      </w:r>
      <w:r>
        <w:rPr>
          <w:rFonts w:ascii="仿宋" w:hAnsi="仿宋" w:eastAsia="仿宋"/>
          <w:sz w:val="28"/>
          <w:szCs w:val="28"/>
        </w:rPr>
        <w:t>满分为100分</w:t>
      </w:r>
      <w:r>
        <w:rPr>
          <w:rFonts w:hint="eastAsia" w:ascii="仿宋" w:hAnsi="仿宋" w:eastAsia="仿宋"/>
          <w:sz w:val="28"/>
          <w:szCs w:val="28"/>
        </w:rPr>
        <w:t>，</w:t>
      </w:r>
      <w:r>
        <w:rPr>
          <w:rFonts w:ascii="仿宋" w:hAnsi="仿宋" w:eastAsia="仿宋"/>
          <w:sz w:val="28"/>
          <w:szCs w:val="28"/>
        </w:rPr>
        <w:t>评委打分后去掉一个最高分和一个最低分，汇总后取平均分，精确到小数点后两位，若出现同分，则精确到后三位，依此类推。</w:t>
      </w:r>
      <w:r>
        <w:rPr>
          <w:rFonts w:hint="eastAsia" w:ascii="仿宋" w:hAnsi="仿宋" w:eastAsia="仿宋"/>
          <w:sz w:val="28"/>
          <w:szCs w:val="28"/>
        </w:rPr>
        <w:t>比赛控制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/>
          <w:sz w:val="28"/>
          <w:szCs w:val="28"/>
        </w:rPr>
        <w:t>超时在平均分的基础上扣2分。</w:t>
      </w:r>
    </w:p>
    <w:p w14:paraId="10F9A88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